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EA0C" w14:textId="77777777" w:rsidR="00FE067E" w:rsidRPr="00DA4B59" w:rsidRDefault="003C6034" w:rsidP="00CC1F3B">
      <w:pPr>
        <w:pStyle w:val="TitlePageOrigin"/>
        <w:rPr>
          <w:color w:val="auto"/>
        </w:rPr>
      </w:pPr>
      <w:r w:rsidRPr="00DA4B59">
        <w:rPr>
          <w:caps w:val="0"/>
          <w:color w:val="auto"/>
        </w:rPr>
        <w:t>WEST VIRGINIA LEGISLATURE</w:t>
      </w:r>
    </w:p>
    <w:p w14:paraId="3F1E8F9F" w14:textId="60A4A108" w:rsidR="00CD36CF" w:rsidRPr="00DA4B59" w:rsidRDefault="00CD36CF" w:rsidP="00CC1F3B">
      <w:pPr>
        <w:pStyle w:val="TitlePageSession"/>
        <w:rPr>
          <w:color w:val="auto"/>
        </w:rPr>
      </w:pPr>
      <w:r w:rsidRPr="00DA4B59">
        <w:rPr>
          <w:color w:val="auto"/>
        </w:rPr>
        <w:t>20</w:t>
      </w:r>
      <w:r w:rsidR="00EC5E63" w:rsidRPr="00DA4B59">
        <w:rPr>
          <w:color w:val="auto"/>
        </w:rPr>
        <w:t>2</w:t>
      </w:r>
      <w:r w:rsidR="00114392" w:rsidRPr="00DA4B59">
        <w:rPr>
          <w:color w:val="auto"/>
        </w:rPr>
        <w:t>4</w:t>
      </w:r>
      <w:r w:rsidRPr="00DA4B59">
        <w:rPr>
          <w:color w:val="auto"/>
        </w:rPr>
        <w:t xml:space="preserve"> </w:t>
      </w:r>
      <w:r w:rsidR="003C6034" w:rsidRPr="00DA4B59">
        <w:rPr>
          <w:caps w:val="0"/>
          <w:color w:val="auto"/>
        </w:rPr>
        <w:t>REGULAR SESSION</w:t>
      </w:r>
    </w:p>
    <w:p w14:paraId="1278A89F" w14:textId="77777777" w:rsidR="00CD36CF" w:rsidRPr="00DA4B59" w:rsidRDefault="00F42530" w:rsidP="00CC1F3B">
      <w:pPr>
        <w:pStyle w:val="TitlePageBillPrefix"/>
        <w:rPr>
          <w:color w:val="auto"/>
        </w:rPr>
      </w:pPr>
      <w:sdt>
        <w:sdtPr>
          <w:rPr>
            <w:color w:val="auto"/>
          </w:rPr>
          <w:tag w:val="IntroDate"/>
          <w:id w:val="-1236936958"/>
          <w:placeholder>
            <w:docPart w:val="058209EF76A6428AAA6E965E1F95EC69"/>
          </w:placeholder>
          <w:text/>
        </w:sdtPr>
        <w:sdtEndPr/>
        <w:sdtContent>
          <w:r w:rsidR="00AE48A0" w:rsidRPr="00DA4B59">
            <w:rPr>
              <w:color w:val="auto"/>
            </w:rPr>
            <w:t>Introduced</w:t>
          </w:r>
        </w:sdtContent>
      </w:sdt>
    </w:p>
    <w:p w14:paraId="39E997C8" w14:textId="5B4CF15C" w:rsidR="00CD36CF" w:rsidRPr="00DA4B59" w:rsidRDefault="00F42530" w:rsidP="00CC1F3B">
      <w:pPr>
        <w:pStyle w:val="BillNumber"/>
        <w:rPr>
          <w:color w:val="auto"/>
        </w:rPr>
      </w:pPr>
      <w:sdt>
        <w:sdtPr>
          <w:rPr>
            <w:color w:val="auto"/>
          </w:rPr>
          <w:tag w:val="Chamber"/>
          <w:id w:val="893011969"/>
          <w:lock w:val="sdtLocked"/>
          <w:placeholder>
            <w:docPart w:val="1DB0F881A5DE481DA10B409580058BF1"/>
          </w:placeholder>
          <w:dropDownList>
            <w:listItem w:displayText="House" w:value="House"/>
            <w:listItem w:displayText="Senate" w:value="Senate"/>
          </w:dropDownList>
        </w:sdtPr>
        <w:sdtEndPr/>
        <w:sdtContent>
          <w:r w:rsidR="00F061B9" w:rsidRPr="00DA4B59">
            <w:rPr>
              <w:color w:val="auto"/>
            </w:rPr>
            <w:t>Senate</w:t>
          </w:r>
        </w:sdtContent>
      </w:sdt>
      <w:r w:rsidR="00303684" w:rsidRPr="00DA4B59">
        <w:rPr>
          <w:color w:val="auto"/>
        </w:rPr>
        <w:t xml:space="preserve"> </w:t>
      </w:r>
      <w:r w:rsidR="00CD36CF" w:rsidRPr="00DA4B59">
        <w:rPr>
          <w:color w:val="auto"/>
        </w:rPr>
        <w:t xml:space="preserve">Bill </w:t>
      </w:r>
      <w:sdt>
        <w:sdtPr>
          <w:rPr>
            <w:color w:val="auto"/>
          </w:rPr>
          <w:tag w:val="BNum"/>
          <w:id w:val="1645317809"/>
          <w:lock w:val="sdtLocked"/>
          <w:placeholder>
            <w:docPart w:val="7F9BA33595E4473C9771FFCC8E8E308B"/>
          </w:placeholder>
          <w:text/>
        </w:sdtPr>
        <w:sdtEndPr/>
        <w:sdtContent>
          <w:r w:rsidR="00FC16EC">
            <w:rPr>
              <w:color w:val="auto"/>
            </w:rPr>
            <w:t>250</w:t>
          </w:r>
        </w:sdtContent>
      </w:sdt>
    </w:p>
    <w:p w14:paraId="51709A17" w14:textId="5A54E72F" w:rsidR="00CD36CF" w:rsidRPr="00DA4B59" w:rsidRDefault="00CD36CF" w:rsidP="00CC1F3B">
      <w:pPr>
        <w:pStyle w:val="Sponsors"/>
        <w:rPr>
          <w:color w:val="auto"/>
        </w:rPr>
      </w:pPr>
      <w:r w:rsidRPr="00DA4B59">
        <w:rPr>
          <w:color w:val="auto"/>
        </w:rPr>
        <w:t xml:space="preserve">By </w:t>
      </w:r>
      <w:sdt>
        <w:sdtPr>
          <w:rPr>
            <w:color w:val="auto"/>
          </w:rPr>
          <w:tag w:val="Sponsors"/>
          <w:id w:val="1589585889"/>
          <w:placeholder>
            <w:docPart w:val="D961601C43284A278BAB384BCA84B36F"/>
          </w:placeholder>
          <w:text w:multiLine="1"/>
        </w:sdtPr>
        <w:sdtContent>
          <w:r w:rsidR="00F42530" w:rsidRPr="00DA4B59">
            <w:rPr>
              <w:color w:val="auto"/>
            </w:rPr>
            <w:t>Senator</w:t>
          </w:r>
          <w:r w:rsidR="00F42530">
            <w:rPr>
              <w:color w:val="auto"/>
            </w:rPr>
            <w:t>s</w:t>
          </w:r>
          <w:r w:rsidR="00F42530" w:rsidRPr="00DA4B59">
            <w:rPr>
              <w:color w:val="auto"/>
            </w:rPr>
            <w:t xml:space="preserve"> Caputo</w:t>
          </w:r>
          <w:r w:rsidR="00F42530">
            <w:rPr>
              <w:color w:val="auto"/>
            </w:rPr>
            <w:t xml:space="preserve"> </w:t>
          </w:r>
          <w:r w:rsidR="00F42530" w:rsidRPr="00FA30C9">
            <w:rPr>
              <w:color w:val="auto"/>
            </w:rPr>
            <w:t xml:space="preserve">and </w:t>
          </w:r>
          <w:r w:rsidR="00F42530">
            <w:rPr>
              <w:color w:val="auto"/>
            </w:rPr>
            <w:t>Woelfel</w:t>
          </w:r>
        </w:sdtContent>
      </w:sdt>
    </w:p>
    <w:p w14:paraId="67D4344D" w14:textId="512B6AEB" w:rsidR="00E831B3" w:rsidRPr="00DA4B59" w:rsidRDefault="00CD36CF" w:rsidP="00CC1F3B">
      <w:pPr>
        <w:pStyle w:val="References"/>
        <w:rPr>
          <w:color w:val="auto"/>
        </w:rPr>
      </w:pPr>
      <w:r w:rsidRPr="00DA4B59">
        <w:rPr>
          <w:color w:val="auto"/>
        </w:rPr>
        <w:t>[</w:t>
      </w:r>
      <w:sdt>
        <w:sdtPr>
          <w:rPr>
            <w:color w:val="auto"/>
          </w:rPr>
          <w:tag w:val="References"/>
          <w:id w:val="-1043047873"/>
          <w:placeholder>
            <w:docPart w:val="C2672C1763DB4303A7341C95D3B26292"/>
          </w:placeholder>
          <w:text w:multiLine="1"/>
        </w:sdtPr>
        <w:sdtEndPr/>
        <w:sdtContent>
          <w:r w:rsidR="00093AB0" w:rsidRPr="00DA4B59">
            <w:rPr>
              <w:color w:val="auto"/>
            </w:rPr>
            <w:t xml:space="preserve">Introduced </w:t>
          </w:r>
          <w:r w:rsidR="00FC16EC">
            <w:rPr>
              <w:color w:val="auto"/>
            </w:rPr>
            <w:t>January 11, 2024</w:t>
          </w:r>
          <w:r w:rsidR="00093AB0" w:rsidRPr="00DA4B59">
            <w:rPr>
              <w:color w:val="auto"/>
            </w:rPr>
            <w:t>; referred</w:t>
          </w:r>
          <w:r w:rsidR="00010832">
            <w:rPr>
              <w:color w:val="auto"/>
            </w:rPr>
            <w:t xml:space="preserve"> to the Committee on Health and Human Resources; and then to the Committee on Finance</w:t>
          </w:r>
        </w:sdtContent>
      </w:sdt>
      <w:r w:rsidRPr="00DA4B59">
        <w:rPr>
          <w:color w:val="auto"/>
        </w:rPr>
        <w:t>]</w:t>
      </w:r>
    </w:p>
    <w:p w14:paraId="52E766E8" w14:textId="7DD000FF" w:rsidR="00303684" w:rsidRPr="00DA4B59" w:rsidRDefault="0000526A" w:rsidP="00F061B9">
      <w:pPr>
        <w:pStyle w:val="TitleSection"/>
        <w:rPr>
          <w:color w:val="auto"/>
        </w:rPr>
      </w:pPr>
      <w:r w:rsidRPr="00DA4B59">
        <w:rPr>
          <w:color w:val="auto"/>
        </w:rPr>
        <w:lastRenderedPageBreak/>
        <w:t>A BILL</w:t>
      </w:r>
      <w:r w:rsidR="00F061B9" w:rsidRPr="00DA4B59">
        <w:rPr>
          <w:color w:val="auto"/>
        </w:rPr>
        <w:t xml:space="preserve"> to amend the Code of West Virginia, 1931, as amended, by adding thereto a new article, designated §33-15F-1, §33-15F-2, §33-15F-3, §33-15F-4, §33-15F-5, §33-15F-6, and §33-15F-7, all relating to requiring medical insurance providers to include infertility services in their policies; making findings; providing for determination of infertility; providing prohibited and permissible limitations on coverage; requiring rulemaking; establishing an effective date; providing for severability; and defining terms.</w:t>
      </w:r>
    </w:p>
    <w:p w14:paraId="1263B291" w14:textId="77777777" w:rsidR="00303684" w:rsidRPr="00DA4B59" w:rsidRDefault="00303684" w:rsidP="00CC1F3B">
      <w:pPr>
        <w:pStyle w:val="EnactingClause"/>
        <w:rPr>
          <w:color w:val="auto"/>
        </w:rPr>
      </w:pPr>
      <w:r w:rsidRPr="00DA4B59">
        <w:rPr>
          <w:color w:val="auto"/>
        </w:rPr>
        <w:t>Be it enacted by the Legislature of West Virginia:</w:t>
      </w:r>
    </w:p>
    <w:p w14:paraId="15C627D0" w14:textId="77777777" w:rsidR="003C6034" w:rsidRPr="00DA4B59" w:rsidRDefault="003C6034" w:rsidP="00CC1F3B">
      <w:pPr>
        <w:pStyle w:val="EnactingClause"/>
        <w:rPr>
          <w:color w:val="auto"/>
        </w:rPr>
        <w:sectPr w:rsidR="003C6034" w:rsidRPr="00DA4B59" w:rsidSect="004E4D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041939" w14:textId="77777777" w:rsidR="00F061B9" w:rsidRPr="00DA4B59" w:rsidRDefault="00F061B9" w:rsidP="00F061B9">
      <w:pPr>
        <w:pStyle w:val="ArticleHeading"/>
        <w:rPr>
          <w:color w:val="auto"/>
          <w:u w:val="single"/>
        </w:rPr>
      </w:pPr>
      <w:r w:rsidRPr="00DA4B59">
        <w:rPr>
          <w:color w:val="auto"/>
          <w:u w:val="single"/>
        </w:rPr>
        <w:t>ARTICLE 15F. access to fertility care.</w:t>
      </w:r>
    </w:p>
    <w:p w14:paraId="434841B9" w14:textId="77777777" w:rsidR="00F061B9" w:rsidRPr="00DA4B59" w:rsidRDefault="00F061B9" w:rsidP="00F061B9">
      <w:pPr>
        <w:pStyle w:val="SectionHeading"/>
        <w:rPr>
          <w:color w:val="auto"/>
          <w:u w:val="single"/>
        </w:rPr>
      </w:pPr>
      <w:r w:rsidRPr="00DA4B59">
        <w:rPr>
          <w:color w:val="auto"/>
          <w:u w:val="single"/>
        </w:rPr>
        <w:t>§33-15F-1. Findings.</w:t>
      </w:r>
    </w:p>
    <w:p w14:paraId="460E41E1" w14:textId="052D1D8C" w:rsidR="00F061B9" w:rsidRPr="00DA4B59" w:rsidRDefault="00F061B9" w:rsidP="00F061B9">
      <w:pPr>
        <w:pStyle w:val="SectionBody"/>
        <w:rPr>
          <w:color w:val="auto"/>
          <w:u w:val="single"/>
        </w:rPr>
      </w:pPr>
      <w:r w:rsidRPr="00DA4B59">
        <w:rPr>
          <w:color w:val="auto"/>
          <w:u w:val="single"/>
        </w:rPr>
        <w:t xml:space="preserve">The Legislature hereby finds that infertility is a disease of the reproductive system that affects one in six couples. One-third of infertility is due to male factors, one-third to female factors, and the remainder is attributed to factors in both partners or diagnostically unexplained. Some of the individuals impacted are women born without a uterus, men with azoospermia (no sperm), women with uterine abnormalities or endometriosis, women with a history of ectopic pregnancies, cancer survivors, and military veterans who received explosive shrapnel injuries. Infertility is treatable. Ninety-seven percent of infertility cases are treated with conventional drug therapy or surgical procedures. Only three percent of cases require assisted reproductive technology, such as in vitro fertilization (IVF). IVF can be a cost-effective treatment option because, with insurance benefits, patients are known to make health care decisions based on appropriate medical advice rather than financial concerns, and thus transfer fewer embryos per cycle. This can result in a savings of $80,000 or more per pregnancy in maternity care and neonatal care costs. Individuals facing medical conditions where treatment, like chemotherapy, is known to impact future fertility, as well as hopeful parents who are carriers for serious genetic conditions, are also impacted by a lack of affordable access to fertility care. The Legislature finds that it is in the public interest to make medical treatment for infertility and related conditions affordable for West Virginia residents and employers, </w:t>
      </w:r>
      <w:r w:rsidR="002810FF" w:rsidRPr="00DA4B59">
        <w:rPr>
          <w:color w:val="auto"/>
          <w:u w:val="single"/>
        </w:rPr>
        <w:t>to</w:t>
      </w:r>
      <w:r w:rsidRPr="00DA4B59">
        <w:rPr>
          <w:color w:val="auto"/>
          <w:u w:val="single"/>
        </w:rPr>
        <w:t xml:space="preserve"> attract and retain young families, expand the state’s health care resources, </w:t>
      </w:r>
      <w:r w:rsidRPr="00DA4B59">
        <w:rPr>
          <w:color w:val="auto"/>
          <w:u w:val="single"/>
        </w:rPr>
        <w:lastRenderedPageBreak/>
        <w:t>reduce overall health care costs, and improve health outcomes for the resulting children.</w:t>
      </w:r>
    </w:p>
    <w:p w14:paraId="2C022F41" w14:textId="77777777" w:rsidR="00F061B9" w:rsidRPr="00DA4B59" w:rsidRDefault="00F061B9" w:rsidP="00F061B9">
      <w:pPr>
        <w:pStyle w:val="SectionHeading"/>
        <w:rPr>
          <w:color w:val="auto"/>
          <w:u w:val="single"/>
        </w:rPr>
      </w:pPr>
      <w:r w:rsidRPr="00DA4B59">
        <w:rPr>
          <w:color w:val="auto"/>
          <w:u w:val="single"/>
        </w:rPr>
        <w:t>§33-15F-2. Definitions.</w:t>
      </w:r>
    </w:p>
    <w:p w14:paraId="6ADB9445" w14:textId="77777777" w:rsidR="00F061B9" w:rsidRPr="00DA4B59" w:rsidRDefault="00F061B9" w:rsidP="00F061B9">
      <w:pPr>
        <w:rPr>
          <w:rFonts w:eastAsia="Calibri"/>
          <w:color w:val="auto"/>
          <w:u w:val="single"/>
        </w:rPr>
        <w:sectPr w:rsidR="00F061B9" w:rsidRPr="00DA4B59" w:rsidSect="004E4DBB">
          <w:type w:val="continuous"/>
          <w:pgSz w:w="12240" w:h="15840"/>
          <w:pgMar w:top="1440" w:right="1440" w:bottom="1440" w:left="1440" w:header="720" w:footer="720" w:gutter="0"/>
          <w:lnNumType w:countBy="1" w:restart="newSection"/>
          <w:cols w:space="720"/>
          <w:docGrid w:linePitch="299"/>
        </w:sectPr>
      </w:pPr>
    </w:p>
    <w:p w14:paraId="04D41C19" w14:textId="77777777" w:rsidR="00F061B9" w:rsidRPr="00DA4B59" w:rsidRDefault="00F061B9" w:rsidP="00F061B9">
      <w:pPr>
        <w:pStyle w:val="SectionBody"/>
        <w:rPr>
          <w:color w:val="auto"/>
          <w:u w:val="single"/>
        </w:rPr>
      </w:pPr>
      <w:r w:rsidRPr="00DA4B59">
        <w:rPr>
          <w:color w:val="auto"/>
          <w:u w:val="single"/>
        </w:rPr>
        <w:t>For the purposes of this article:</w:t>
      </w:r>
    </w:p>
    <w:p w14:paraId="58469677" w14:textId="2714524A" w:rsidR="00F061B9" w:rsidRPr="00DA4B59" w:rsidRDefault="00FE3474" w:rsidP="00F061B9">
      <w:pPr>
        <w:pStyle w:val="SectionBody"/>
        <w:rPr>
          <w:color w:val="auto"/>
          <w:u w:val="single"/>
        </w:rPr>
      </w:pPr>
      <w:r w:rsidRPr="00DA4B59">
        <w:rPr>
          <w:color w:val="auto"/>
          <w:u w:val="single"/>
        </w:rPr>
        <w:t>"</w:t>
      </w:r>
      <w:r w:rsidR="00F061B9" w:rsidRPr="00DA4B59">
        <w:rPr>
          <w:color w:val="auto"/>
          <w:u w:val="single"/>
        </w:rPr>
        <w:t>Commissioner</w:t>
      </w:r>
      <w:r w:rsidRPr="00DA4B59">
        <w:rPr>
          <w:color w:val="auto"/>
          <w:u w:val="single"/>
        </w:rPr>
        <w:t>"</w:t>
      </w:r>
      <w:r w:rsidR="00F061B9" w:rsidRPr="00DA4B59">
        <w:rPr>
          <w:color w:val="auto"/>
          <w:u w:val="single"/>
        </w:rPr>
        <w:t xml:space="preserve"> means the Insurance Commissioner.</w:t>
      </w:r>
    </w:p>
    <w:p w14:paraId="27073397" w14:textId="376351F7" w:rsidR="00F061B9" w:rsidRPr="00DA4B59" w:rsidRDefault="00FE3474" w:rsidP="00F061B9">
      <w:pPr>
        <w:pStyle w:val="SectionBody"/>
        <w:rPr>
          <w:color w:val="auto"/>
          <w:u w:val="single"/>
        </w:rPr>
      </w:pPr>
      <w:r w:rsidRPr="00DA4B59">
        <w:rPr>
          <w:color w:val="auto"/>
          <w:u w:val="single"/>
        </w:rPr>
        <w:t>"</w:t>
      </w:r>
      <w:r w:rsidR="00F061B9" w:rsidRPr="00DA4B59">
        <w:rPr>
          <w:color w:val="auto"/>
          <w:u w:val="single"/>
        </w:rPr>
        <w:t>Experimental infertility procedure</w:t>
      </w:r>
      <w:r w:rsidRPr="00DA4B59">
        <w:rPr>
          <w:color w:val="auto"/>
          <w:u w:val="single"/>
        </w:rPr>
        <w:t>"</w:t>
      </w:r>
      <w:r w:rsidR="00F061B9" w:rsidRPr="00DA4B59">
        <w:rPr>
          <w:color w:val="auto"/>
          <w:u w:val="single"/>
        </w:rPr>
        <w:t xml:space="preserve"> means a procedure for which the published medical evidence regarding risks, benefits, and overall safety and efficacy is not sufficient to regard the procedure as an established medical practice.</w:t>
      </w:r>
    </w:p>
    <w:p w14:paraId="5A52F1F5" w14:textId="40C4CA6A" w:rsidR="00F061B9" w:rsidRPr="00DA4B59" w:rsidRDefault="00FE3474" w:rsidP="00F061B9">
      <w:pPr>
        <w:pStyle w:val="SectionBody"/>
        <w:rPr>
          <w:color w:val="auto"/>
          <w:u w:val="single"/>
        </w:rPr>
      </w:pPr>
      <w:r w:rsidRPr="00DA4B59">
        <w:rPr>
          <w:color w:val="auto"/>
          <w:u w:val="single"/>
        </w:rPr>
        <w:t>"</w:t>
      </w:r>
      <w:r w:rsidR="00F061B9" w:rsidRPr="00DA4B59">
        <w:rPr>
          <w:color w:val="auto"/>
          <w:u w:val="single"/>
        </w:rPr>
        <w:t>Fertility treatment</w:t>
      </w:r>
      <w:r w:rsidR="00617DFB" w:rsidRPr="00DA4B59">
        <w:rPr>
          <w:color w:val="auto"/>
          <w:u w:val="single"/>
        </w:rPr>
        <w:t>"</w:t>
      </w:r>
      <w:r w:rsidR="00F061B9" w:rsidRPr="00DA4B59">
        <w:rPr>
          <w:color w:val="auto"/>
          <w:u w:val="single"/>
        </w:rPr>
        <w:t xml:space="preserve"> means health care services or products provided with the intent to achieve a pregnancy that results in a live birth with healthy outcomes.  </w:t>
      </w:r>
    </w:p>
    <w:p w14:paraId="3B19367F" w14:textId="144F9A00" w:rsidR="00F061B9" w:rsidRPr="00DA4B59" w:rsidRDefault="00617DFB" w:rsidP="00F061B9">
      <w:pPr>
        <w:pStyle w:val="SectionBody"/>
        <w:rPr>
          <w:color w:val="auto"/>
          <w:u w:val="single"/>
        </w:rPr>
      </w:pPr>
      <w:r w:rsidRPr="00DA4B59">
        <w:rPr>
          <w:color w:val="auto"/>
          <w:u w:val="single"/>
        </w:rPr>
        <w:t>"</w:t>
      </w:r>
      <w:r w:rsidR="00F061B9" w:rsidRPr="00DA4B59">
        <w:rPr>
          <w:color w:val="auto"/>
          <w:u w:val="single"/>
        </w:rPr>
        <w:t>Health carrier</w:t>
      </w:r>
      <w:r w:rsidRPr="00DA4B59">
        <w:rPr>
          <w:color w:val="auto"/>
          <w:u w:val="single"/>
        </w:rPr>
        <w:t>"</w:t>
      </w:r>
      <w:r w:rsidR="00F061B9" w:rsidRPr="00DA4B59">
        <w:rPr>
          <w:color w:val="auto"/>
          <w:u w:val="single"/>
        </w:rPr>
        <w:t xml:space="preserve"> means an entity subject to the insurance laws and rules of this state, or subject to the jurisdiction of the commissioner, that contracts or offers to contract</w:t>
      </w:r>
      <w:r w:rsidRPr="00DA4B59">
        <w:rPr>
          <w:color w:val="auto"/>
          <w:u w:val="single"/>
        </w:rPr>
        <w:t>,</w:t>
      </w:r>
      <w:r w:rsidR="00F061B9" w:rsidRPr="00DA4B59">
        <w:rPr>
          <w:color w:val="auto"/>
          <w:u w:val="single"/>
        </w:rPr>
        <w:t xml:space="preserve"> to provide, deliver, arrange for, pay for, or reimburse any of the costs of health care services, including an insurance company, a health maintenance organization, a health service corporation, or any other entity providing a plan of health insurance, health benefits, or health services.</w:t>
      </w:r>
    </w:p>
    <w:p w14:paraId="514C6E97" w14:textId="5F2BDFD8" w:rsidR="00F061B9" w:rsidRPr="00DA4B59" w:rsidRDefault="00617DFB" w:rsidP="00F061B9">
      <w:pPr>
        <w:pStyle w:val="SectionBody"/>
        <w:rPr>
          <w:color w:val="auto"/>
          <w:u w:val="single"/>
        </w:rPr>
      </w:pPr>
      <w:r w:rsidRPr="00DA4B59">
        <w:rPr>
          <w:color w:val="auto"/>
          <w:u w:val="single"/>
        </w:rPr>
        <w:t>"</w:t>
      </w:r>
      <w:r w:rsidR="00F061B9" w:rsidRPr="00DA4B59">
        <w:rPr>
          <w:color w:val="auto"/>
          <w:u w:val="single"/>
        </w:rPr>
        <w:t>Infertility</w:t>
      </w:r>
      <w:r w:rsidRPr="00DA4B59">
        <w:rPr>
          <w:color w:val="auto"/>
          <w:u w:val="single"/>
        </w:rPr>
        <w:t>"</w:t>
      </w:r>
      <w:r w:rsidR="00F061B9" w:rsidRPr="00DA4B59">
        <w:rPr>
          <w:color w:val="auto"/>
          <w:u w:val="single"/>
        </w:rPr>
        <w:t xml:space="preserve"> means a disease, caused by an illness, injury, underlying disease, or condition, where an individual’s ability to become pregnant or to carry a pregnancy to live birth is impaired, or where an individual</w:t>
      </w:r>
      <w:r w:rsidR="001A6CD6" w:rsidRPr="00DA4B59">
        <w:rPr>
          <w:color w:val="auto"/>
          <w:u w:val="single"/>
        </w:rPr>
        <w:t>'</w:t>
      </w:r>
      <w:r w:rsidR="00F061B9" w:rsidRPr="00DA4B59">
        <w:rPr>
          <w:color w:val="auto"/>
          <w:u w:val="single"/>
        </w:rPr>
        <w:t>s ability to cause pregnancy and live birth in the individual</w:t>
      </w:r>
      <w:r w:rsidR="001A6CD6" w:rsidRPr="00DA4B59">
        <w:rPr>
          <w:color w:val="auto"/>
          <w:u w:val="single"/>
        </w:rPr>
        <w:t>'</w:t>
      </w:r>
      <w:r w:rsidR="00F061B9" w:rsidRPr="00DA4B59">
        <w:rPr>
          <w:color w:val="auto"/>
          <w:u w:val="single"/>
        </w:rPr>
        <w:t>s partner is impaired.</w:t>
      </w:r>
    </w:p>
    <w:p w14:paraId="7C3B897E" w14:textId="42F1B79A" w:rsidR="00F061B9" w:rsidRPr="00DA4B59" w:rsidRDefault="00617DFB" w:rsidP="00F061B9">
      <w:pPr>
        <w:pStyle w:val="SectionBody"/>
        <w:rPr>
          <w:color w:val="auto"/>
          <w:u w:val="single"/>
        </w:rPr>
      </w:pPr>
      <w:r w:rsidRPr="00DA4B59">
        <w:rPr>
          <w:color w:val="auto"/>
          <w:u w:val="single"/>
        </w:rPr>
        <w:t>"</w:t>
      </w:r>
      <w:r w:rsidR="00F061B9" w:rsidRPr="00DA4B59">
        <w:rPr>
          <w:color w:val="auto"/>
          <w:u w:val="single"/>
        </w:rPr>
        <w:t>Medically necessary</w:t>
      </w:r>
      <w:r w:rsidRPr="00DA4B59">
        <w:rPr>
          <w:color w:val="auto"/>
          <w:u w:val="single"/>
        </w:rPr>
        <w:t xml:space="preserve">" </w:t>
      </w:r>
      <w:r w:rsidR="00F061B9" w:rsidRPr="00DA4B59">
        <w:rPr>
          <w:color w:val="auto"/>
          <w:u w:val="single"/>
        </w:rPr>
        <w:t>means health care services or products provided to an enrollee for the purpose of preventing, stabilizing, diagnosing, or treating an illness, injury, or disease or the symptoms of an illness, injury, or disease in a manner that is:</w:t>
      </w:r>
    </w:p>
    <w:p w14:paraId="1316A388" w14:textId="77777777" w:rsidR="00F061B9" w:rsidRPr="00DA4B59" w:rsidRDefault="00F061B9" w:rsidP="00F061B9">
      <w:pPr>
        <w:pStyle w:val="SectionBody"/>
        <w:rPr>
          <w:color w:val="auto"/>
          <w:u w:val="single"/>
        </w:rPr>
      </w:pPr>
      <w:r w:rsidRPr="00DA4B59">
        <w:rPr>
          <w:color w:val="auto"/>
          <w:u w:val="single"/>
        </w:rPr>
        <w:t>(A) Consistent with generally accepted standards of medical practice;</w:t>
      </w:r>
    </w:p>
    <w:p w14:paraId="668C5C84" w14:textId="77777777" w:rsidR="00F061B9" w:rsidRPr="00DA4B59" w:rsidRDefault="00F061B9" w:rsidP="00F061B9">
      <w:pPr>
        <w:pStyle w:val="SectionBody"/>
        <w:rPr>
          <w:color w:val="auto"/>
          <w:u w:val="single"/>
        </w:rPr>
      </w:pPr>
      <w:r w:rsidRPr="00DA4B59">
        <w:rPr>
          <w:color w:val="auto"/>
          <w:u w:val="single"/>
        </w:rPr>
        <w:t>(B) Clinically appropriate in terms of type, frequency, extent, site, and duration;</w:t>
      </w:r>
    </w:p>
    <w:p w14:paraId="31C61210" w14:textId="77777777" w:rsidR="00F061B9" w:rsidRPr="00DA4B59" w:rsidRDefault="00F061B9" w:rsidP="00F061B9">
      <w:pPr>
        <w:pStyle w:val="SectionBody"/>
        <w:rPr>
          <w:color w:val="auto"/>
          <w:u w:val="single"/>
        </w:rPr>
      </w:pPr>
      <w:r w:rsidRPr="00DA4B59">
        <w:rPr>
          <w:color w:val="auto"/>
          <w:u w:val="single"/>
        </w:rPr>
        <w:t>(C) Demonstrated through scientific evidence to be effective in improving health outcomes;</w:t>
      </w:r>
    </w:p>
    <w:p w14:paraId="16AFCF0D" w14:textId="0AF8FEC0" w:rsidR="00F061B9" w:rsidRPr="00DA4B59" w:rsidRDefault="00F061B9" w:rsidP="00F061B9">
      <w:pPr>
        <w:pStyle w:val="SectionBody"/>
        <w:rPr>
          <w:color w:val="auto"/>
          <w:u w:val="single"/>
        </w:rPr>
      </w:pPr>
      <w:r w:rsidRPr="00DA4B59">
        <w:rPr>
          <w:color w:val="auto"/>
          <w:u w:val="single"/>
        </w:rPr>
        <w:t xml:space="preserve">(D) Representative of </w:t>
      </w:r>
      <w:r w:rsidR="00617DFB" w:rsidRPr="00DA4B59">
        <w:rPr>
          <w:color w:val="auto"/>
          <w:u w:val="single"/>
        </w:rPr>
        <w:t>"</w:t>
      </w:r>
      <w:r w:rsidRPr="00DA4B59">
        <w:rPr>
          <w:color w:val="auto"/>
          <w:u w:val="single"/>
        </w:rPr>
        <w:t>best practices</w:t>
      </w:r>
      <w:r w:rsidR="00617DFB" w:rsidRPr="00DA4B59">
        <w:rPr>
          <w:color w:val="auto"/>
          <w:u w:val="single"/>
        </w:rPr>
        <w:t>"</w:t>
      </w:r>
      <w:r w:rsidRPr="00DA4B59">
        <w:rPr>
          <w:color w:val="auto"/>
          <w:u w:val="single"/>
        </w:rPr>
        <w:t xml:space="preserve"> in the medical profession; and</w:t>
      </w:r>
    </w:p>
    <w:p w14:paraId="71A6D407" w14:textId="77777777" w:rsidR="00F061B9" w:rsidRPr="00DA4B59" w:rsidRDefault="00F061B9" w:rsidP="00F061B9">
      <w:pPr>
        <w:pStyle w:val="SectionBody"/>
        <w:rPr>
          <w:color w:val="auto"/>
          <w:u w:val="single"/>
        </w:rPr>
      </w:pPr>
      <w:r w:rsidRPr="00DA4B59">
        <w:rPr>
          <w:color w:val="auto"/>
          <w:u w:val="single"/>
        </w:rPr>
        <w:lastRenderedPageBreak/>
        <w:t>(E) Not primarily for the convenience of the enrollee or physician or other health care provider.</w:t>
      </w:r>
    </w:p>
    <w:p w14:paraId="2820F420" w14:textId="530A6C62" w:rsidR="00F061B9" w:rsidRPr="00DA4B59" w:rsidRDefault="00617DFB" w:rsidP="00F061B9">
      <w:pPr>
        <w:pStyle w:val="SectionBody"/>
        <w:rPr>
          <w:color w:val="auto"/>
          <w:u w:val="single"/>
        </w:rPr>
      </w:pPr>
      <w:r w:rsidRPr="00DA4B59">
        <w:rPr>
          <w:color w:val="auto"/>
          <w:u w:val="single"/>
        </w:rPr>
        <w:t>"</w:t>
      </w:r>
      <w:r w:rsidR="00F061B9" w:rsidRPr="00DA4B59">
        <w:rPr>
          <w:color w:val="auto"/>
          <w:u w:val="single"/>
        </w:rPr>
        <w:t>Standard fertility preservation services</w:t>
      </w:r>
      <w:r w:rsidRPr="00DA4B59">
        <w:rPr>
          <w:color w:val="auto"/>
          <w:u w:val="single"/>
        </w:rPr>
        <w:t>"</w:t>
      </w:r>
      <w:r w:rsidR="00F061B9" w:rsidRPr="00DA4B59">
        <w:rPr>
          <w:color w:val="auto"/>
          <w:u w:val="single"/>
        </w:rPr>
        <w:t xml:space="preserve"> means procedures consistent with established medical practices and professional guidelines published by the American Society for Reproductive Medicine or the American Society of Clinical Oncology.</w:t>
      </w:r>
    </w:p>
    <w:p w14:paraId="1342328A" w14:textId="77777777" w:rsidR="00F061B9" w:rsidRPr="00DA4B59" w:rsidRDefault="00F061B9" w:rsidP="00F061B9">
      <w:pPr>
        <w:pStyle w:val="SectionHeading"/>
        <w:rPr>
          <w:color w:val="auto"/>
          <w:u w:val="single"/>
        </w:rPr>
      </w:pPr>
      <w:r w:rsidRPr="00DA4B59">
        <w:rPr>
          <w:color w:val="auto"/>
          <w:u w:val="single"/>
        </w:rPr>
        <w:t>§33-15F-3. Diagnosis of infertility, fertility treatment, and fertility preservation.</w:t>
      </w:r>
    </w:p>
    <w:p w14:paraId="6D999379" w14:textId="77777777" w:rsidR="00F061B9" w:rsidRPr="00DA4B59" w:rsidRDefault="00F061B9" w:rsidP="00F061B9">
      <w:pPr>
        <w:rPr>
          <w:rFonts w:eastAsia="Calibri"/>
          <w:color w:val="auto"/>
          <w:u w:val="single"/>
        </w:rPr>
        <w:sectPr w:rsidR="00F061B9" w:rsidRPr="00DA4B59" w:rsidSect="004E4DBB">
          <w:type w:val="continuous"/>
          <w:pgSz w:w="12240" w:h="15840"/>
          <w:pgMar w:top="1440" w:right="1440" w:bottom="1440" w:left="1440" w:header="720" w:footer="720" w:gutter="0"/>
          <w:lnNumType w:countBy="1" w:restart="newSection"/>
          <w:cols w:space="720"/>
          <w:docGrid w:linePitch="299"/>
        </w:sectPr>
      </w:pPr>
    </w:p>
    <w:p w14:paraId="37BB83C4" w14:textId="77777777" w:rsidR="00F061B9" w:rsidRPr="00DA4B59" w:rsidRDefault="00F061B9" w:rsidP="00F061B9">
      <w:pPr>
        <w:pStyle w:val="SectionBody"/>
        <w:rPr>
          <w:color w:val="auto"/>
          <w:u w:val="single"/>
        </w:rPr>
      </w:pPr>
      <w:r w:rsidRPr="00DA4B59">
        <w:rPr>
          <w:color w:val="auto"/>
          <w:u w:val="single"/>
        </w:rPr>
        <w:t>(a)  Each health carrier that issues or renews any group policy, plan, or contract of accident or health insurance providing benefits for medical or hospital expenses, shall provide to certificate holders of such insurance coverage for the diagnosis of the etiology of infertility.</w:t>
      </w:r>
    </w:p>
    <w:p w14:paraId="2FBAC4F4" w14:textId="77777777" w:rsidR="00F061B9" w:rsidRPr="00DA4B59" w:rsidRDefault="00F061B9" w:rsidP="00F061B9">
      <w:pPr>
        <w:pStyle w:val="SectionBody"/>
        <w:rPr>
          <w:color w:val="auto"/>
          <w:u w:val="single"/>
        </w:rPr>
      </w:pPr>
      <w:r w:rsidRPr="00DA4B59">
        <w:rPr>
          <w:color w:val="auto"/>
          <w:u w:val="single"/>
        </w:rPr>
        <w:t xml:space="preserve">(b) Each health carrier that issues or renews any group policy, plan, or contract of accident or health insurance providing benefits for medical or hospital expenses, shall provide to certificate holders of such insurance coverage for medically necessary fertility treatment. Enrollees shall be provided coverage for evaluations, laboratory assessments, medications, and treatments associated with the procurement of donor eggs, sperm, and embryos. </w:t>
      </w:r>
    </w:p>
    <w:p w14:paraId="2B229ACF" w14:textId="7B25CAE8" w:rsidR="00F061B9" w:rsidRPr="00DA4B59" w:rsidRDefault="00F061B9" w:rsidP="00F061B9">
      <w:pPr>
        <w:pStyle w:val="SectionBody"/>
        <w:rPr>
          <w:color w:val="auto"/>
          <w:u w:val="single"/>
        </w:rPr>
      </w:pPr>
      <w:r w:rsidRPr="00DA4B59">
        <w:rPr>
          <w:color w:val="auto"/>
          <w:u w:val="single"/>
        </w:rPr>
        <w:t xml:space="preserve">(c) Each health carrier that issues or renews any group policy, plan, or contract of accident or health insurance providing benefits for medical or hospital expenses, shall provide to certificate holders of such insurance coverage for fertility preservation when a person is expected to undergo surgery, radiation, chemotherapy, or other medical treatment that is recognized by medical professionals to cause a risk of impairment of fertility. Coverage under this section shall include coverage for standard fertility preservation services, including the procurement and cryopreservation of embryos, eggs, sperm, and reproductive material determined not to be an experimental infertility procedure. Storage shall be covered from the time of cryopreservation for the duration of the policy term. Storage offered for a longer </w:t>
      </w:r>
      <w:r w:rsidR="002810FF" w:rsidRPr="00DA4B59">
        <w:rPr>
          <w:color w:val="auto"/>
          <w:u w:val="single"/>
        </w:rPr>
        <w:t>period</w:t>
      </w:r>
      <w:r w:rsidRPr="00DA4B59">
        <w:rPr>
          <w:color w:val="auto"/>
          <w:u w:val="single"/>
        </w:rPr>
        <w:t>, as approved by the health carrier, shall be an optional benefit.</w:t>
      </w:r>
    </w:p>
    <w:p w14:paraId="6999CCB1" w14:textId="77777777" w:rsidR="00F061B9" w:rsidRPr="00DA4B59" w:rsidRDefault="00F061B9" w:rsidP="00F061B9">
      <w:pPr>
        <w:pStyle w:val="SectionHeading"/>
        <w:rPr>
          <w:color w:val="auto"/>
          <w:u w:val="single"/>
        </w:rPr>
      </w:pPr>
      <w:r w:rsidRPr="00DA4B59">
        <w:rPr>
          <w:color w:val="auto"/>
          <w:u w:val="single"/>
        </w:rPr>
        <w:t>§33-15F-4. Prohibited and permissible limitations on coverage.</w:t>
      </w:r>
    </w:p>
    <w:p w14:paraId="4C4E85CE" w14:textId="77777777" w:rsidR="00F061B9" w:rsidRPr="00DA4B59" w:rsidRDefault="00F061B9" w:rsidP="00F061B9">
      <w:pPr>
        <w:rPr>
          <w:rFonts w:eastAsia="Calibri"/>
          <w:color w:val="auto"/>
          <w:u w:val="single"/>
        </w:rPr>
        <w:sectPr w:rsidR="00F061B9" w:rsidRPr="00DA4B59" w:rsidSect="004E4DBB">
          <w:type w:val="continuous"/>
          <w:pgSz w:w="12240" w:h="15840"/>
          <w:pgMar w:top="1440" w:right="1440" w:bottom="1440" w:left="1440" w:header="720" w:footer="720" w:gutter="0"/>
          <w:lnNumType w:countBy="1" w:restart="newSection"/>
          <w:cols w:space="720"/>
          <w:docGrid w:linePitch="299"/>
        </w:sectPr>
      </w:pPr>
    </w:p>
    <w:p w14:paraId="7B701210" w14:textId="77777777" w:rsidR="00F061B9" w:rsidRPr="00DA4B59" w:rsidRDefault="00F061B9" w:rsidP="00F061B9">
      <w:pPr>
        <w:pStyle w:val="SectionBody"/>
        <w:rPr>
          <w:color w:val="auto"/>
          <w:u w:val="single"/>
        </w:rPr>
      </w:pPr>
      <w:r w:rsidRPr="00DA4B59">
        <w:rPr>
          <w:color w:val="auto"/>
          <w:u w:val="single"/>
        </w:rPr>
        <w:t>(a) No health carrier shall:</w:t>
      </w:r>
    </w:p>
    <w:p w14:paraId="1571F50A" w14:textId="77777777" w:rsidR="00F061B9" w:rsidRPr="00DA4B59" w:rsidRDefault="00F061B9" w:rsidP="00F061B9">
      <w:pPr>
        <w:pStyle w:val="SectionBody"/>
        <w:rPr>
          <w:color w:val="auto"/>
          <w:u w:val="single"/>
        </w:rPr>
      </w:pPr>
      <w:r w:rsidRPr="00DA4B59">
        <w:rPr>
          <w:color w:val="auto"/>
          <w:u w:val="single"/>
        </w:rPr>
        <w:lastRenderedPageBreak/>
        <w:t>(1) Impose deductibles, copayments, coinsurance, benefit maximums, waiting periods, or any other limitations on coverage for required benefits which are different from those imposed upon benefits for services not related to infertility or any limitations on coverage of fertility medications that are different from those imposed on any other prescription medications.</w:t>
      </w:r>
    </w:p>
    <w:p w14:paraId="4FD2329C" w14:textId="77777777" w:rsidR="00F061B9" w:rsidRPr="00DA4B59" w:rsidRDefault="00F061B9" w:rsidP="00F061B9">
      <w:pPr>
        <w:pStyle w:val="SectionBody"/>
        <w:rPr>
          <w:color w:val="auto"/>
          <w:u w:val="single"/>
        </w:rPr>
      </w:pPr>
      <w:r w:rsidRPr="00DA4B59">
        <w:rPr>
          <w:color w:val="auto"/>
          <w:u w:val="single"/>
        </w:rPr>
        <w:t>(2) Impose preexisting condition exclusions or preexisting condition waiting periods on coverage for required benefits or use any prior diagnosis of or prior treatment for infertility as a basis for excluding, limiting, or otherwise restricting the availability of coverage for required benefits.</w:t>
      </w:r>
    </w:p>
    <w:p w14:paraId="4DEC6A6E" w14:textId="77777777" w:rsidR="00F061B9" w:rsidRPr="00DA4B59" w:rsidRDefault="00F061B9" w:rsidP="00F061B9">
      <w:pPr>
        <w:pStyle w:val="SectionBody"/>
        <w:rPr>
          <w:color w:val="auto"/>
          <w:u w:val="single"/>
        </w:rPr>
      </w:pPr>
      <w:r w:rsidRPr="00DA4B59">
        <w:rPr>
          <w:color w:val="auto"/>
          <w:u w:val="single"/>
        </w:rPr>
        <w:t>(3) Impose limitations on coverage based solely on arbitrary factors including, but not limited to, number of attempts or dollar amounts or age, or provide different benefits to, or impose different requirements required of other patients.</w:t>
      </w:r>
    </w:p>
    <w:p w14:paraId="01BBDD0D" w14:textId="084DB799" w:rsidR="00F061B9" w:rsidRPr="00DA4B59" w:rsidRDefault="00F061B9" w:rsidP="00F061B9">
      <w:pPr>
        <w:pStyle w:val="SectionBody"/>
        <w:rPr>
          <w:color w:val="auto"/>
          <w:u w:val="single"/>
        </w:rPr>
      </w:pPr>
      <w:r w:rsidRPr="00DA4B59">
        <w:rPr>
          <w:color w:val="auto"/>
          <w:u w:val="single"/>
        </w:rPr>
        <w:t>(b) Limitations on coverage shall be based on clinical guidelines and the enrollee</w:t>
      </w:r>
      <w:r w:rsidR="001A6CD6" w:rsidRPr="00DA4B59">
        <w:rPr>
          <w:color w:val="auto"/>
          <w:u w:val="single"/>
        </w:rPr>
        <w:t>'</w:t>
      </w:r>
      <w:r w:rsidRPr="00DA4B59">
        <w:rPr>
          <w:color w:val="auto"/>
          <w:u w:val="single"/>
        </w:rPr>
        <w:t xml:space="preserve">s medical history. Clinical guidelines shall be maintained in written form and shall be available to any enrollee upon request. Standards or guidelines developed by the American Society for Reproductive Medicine, the American College of Obstetrics and Gynecology, or the Society for Assisted Reproductive Technology may serve as a basis for these clinical guidelines. Making, issuing, circulating, or causing to be made, </w:t>
      </w:r>
      <w:r w:rsidR="002810FF" w:rsidRPr="00DA4B59">
        <w:rPr>
          <w:color w:val="auto"/>
          <w:u w:val="single"/>
        </w:rPr>
        <w:t>issued,</w:t>
      </w:r>
      <w:r w:rsidRPr="00DA4B59">
        <w:rPr>
          <w:color w:val="auto"/>
          <w:u w:val="single"/>
        </w:rPr>
        <w:t xml:space="preserve"> or circulated, any clinical guidelines that are based upon data that are not reasonably current or that do not cite with specificity any references relied upon shall constitute an unfair and deceptive act and practice in the business of insurance.</w:t>
      </w:r>
    </w:p>
    <w:p w14:paraId="1F1BDC18" w14:textId="77777777" w:rsidR="00F061B9" w:rsidRPr="00DA4B59" w:rsidRDefault="00F061B9" w:rsidP="00F061B9">
      <w:pPr>
        <w:pStyle w:val="SectionBody"/>
        <w:rPr>
          <w:color w:val="auto"/>
          <w:u w:val="single"/>
        </w:rPr>
      </w:pPr>
      <w:r w:rsidRPr="00DA4B59">
        <w:rPr>
          <w:color w:val="auto"/>
          <w:u w:val="single"/>
        </w:rPr>
        <w:t>(c) This article may not be construed to provide benefits for:</w:t>
      </w:r>
    </w:p>
    <w:p w14:paraId="0AD74A2F" w14:textId="77777777" w:rsidR="00F061B9" w:rsidRPr="00DA4B59" w:rsidRDefault="00F061B9" w:rsidP="00F061B9">
      <w:pPr>
        <w:pStyle w:val="SectionBody"/>
        <w:rPr>
          <w:color w:val="auto"/>
          <w:u w:val="single"/>
        </w:rPr>
      </w:pPr>
      <w:r w:rsidRPr="00DA4B59">
        <w:rPr>
          <w:color w:val="auto"/>
          <w:u w:val="single"/>
        </w:rPr>
        <w:t>(1) An experimental infertility procedure;</w:t>
      </w:r>
    </w:p>
    <w:p w14:paraId="00459FCE" w14:textId="77777777" w:rsidR="00F061B9" w:rsidRPr="00DA4B59" w:rsidRDefault="00F061B9" w:rsidP="00F061B9">
      <w:pPr>
        <w:pStyle w:val="SectionBody"/>
        <w:rPr>
          <w:color w:val="auto"/>
          <w:u w:val="single"/>
        </w:rPr>
      </w:pPr>
      <w:r w:rsidRPr="00DA4B59">
        <w:rPr>
          <w:color w:val="auto"/>
          <w:u w:val="single"/>
        </w:rPr>
        <w:t>(2) Nonmedical costs related to third party reproduction; or</w:t>
      </w:r>
    </w:p>
    <w:p w14:paraId="0A105431" w14:textId="77777777" w:rsidR="00F061B9" w:rsidRPr="00DA4B59" w:rsidRDefault="00F061B9" w:rsidP="00F061B9">
      <w:pPr>
        <w:pStyle w:val="SectionBody"/>
        <w:rPr>
          <w:color w:val="auto"/>
          <w:u w:val="single"/>
        </w:rPr>
      </w:pPr>
      <w:r w:rsidRPr="00DA4B59">
        <w:rPr>
          <w:color w:val="auto"/>
          <w:u w:val="single"/>
        </w:rPr>
        <w:t>(3) Reversal of voluntary sterilization.</w:t>
      </w:r>
    </w:p>
    <w:p w14:paraId="2F7A91AD" w14:textId="24EDE518" w:rsidR="00F061B9" w:rsidRPr="00DA4B59" w:rsidRDefault="00F061B9" w:rsidP="00F061B9">
      <w:pPr>
        <w:pStyle w:val="SectionBody"/>
        <w:rPr>
          <w:color w:val="auto"/>
          <w:u w:val="single"/>
        </w:rPr>
      </w:pPr>
      <w:r w:rsidRPr="00DA4B59">
        <w:rPr>
          <w:color w:val="auto"/>
          <w:u w:val="single"/>
        </w:rPr>
        <w:t>(d) In instances where an enrollee is utilizing a surrogate or gestational carrier due to a medical cause of infertility unrelated to voluntary sterilization or failed reversal, the enrollee</w:t>
      </w:r>
      <w:r w:rsidR="001A6CD6" w:rsidRPr="00DA4B59">
        <w:rPr>
          <w:color w:val="auto"/>
          <w:u w:val="single"/>
        </w:rPr>
        <w:t>'</w:t>
      </w:r>
      <w:r w:rsidRPr="00DA4B59">
        <w:rPr>
          <w:color w:val="auto"/>
          <w:u w:val="single"/>
        </w:rPr>
        <w:t xml:space="preserve">s coverage shall not extend to medical costs relating to the preparation for reception or introduction </w:t>
      </w:r>
      <w:r w:rsidRPr="00DA4B59">
        <w:rPr>
          <w:color w:val="auto"/>
          <w:u w:val="single"/>
        </w:rPr>
        <w:lastRenderedPageBreak/>
        <w:t xml:space="preserve">of embryos, oocytes, or donor sperm into a surrogate or gestational carrier. </w:t>
      </w:r>
    </w:p>
    <w:p w14:paraId="0C3372B5" w14:textId="57AB5CEC" w:rsidR="00F061B9" w:rsidRPr="00DA4B59" w:rsidRDefault="00F061B9" w:rsidP="00F061B9">
      <w:pPr>
        <w:pStyle w:val="SectionHeading"/>
        <w:rPr>
          <w:color w:val="auto"/>
          <w:u w:val="single"/>
        </w:rPr>
      </w:pPr>
      <w:r w:rsidRPr="00DA4B59">
        <w:rPr>
          <w:color w:val="auto"/>
          <w:u w:val="single"/>
        </w:rPr>
        <w:t>§33-15F-5. Rulemaking.</w:t>
      </w:r>
    </w:p>
    <w:p w14:paraId="2CC43E51" w14:textId="77777777" w:rsidR="00F061B9" w:rsidRPr="00DA4B59" w:rsidRDefault="00F061B9" w:rsidP="00F061B9">
      <w:pPr>
        <w:rPr>
          <w:rFonts w:eastAsia="Calibri"/>
          <w:color w:val="auto"/>
          <w:u w:val="single"/>
        </w:rPr>
        <w:sectPr w:rsidR="00F061B9" w:rsidRPr="00DA4B59" w:rsidSect="004E4DBB">
          <w:type w:val="continuous"/>
          <w:pgSz w:w="12240" w:h="15840"/>
          <w:pgMar w:top="1440" w:right="1440" w:bottom="1440" w:left="1440" w:header="720" w:footer="720" w:gutter="0"/>
          <w:lnNumType w:countBy="1" w:restart="newSection"/>
          <w:cols w:space="720"/>
          <w:docGrid w:linePitch="299"/>
        </w:sectPr>
      </w:pPr>
    </w:p>
    <w:p w14:paraId="7F97803A" w14:textId="77777777" w:rsidR="00F061B9" w:rsidRPr="00DA4B59" w:rsidRDefault="00F061B9" w:rsidP="00F061B9">
      <w:pPr>
        <w:pStyle w:val="SectionBody"/>
        <w:rPr>
          <w:color w:val="auto"/>
          <w:u w:val="single"/>
        </w:rPr>
      </w:pPr>
      <w:r w:rsidRPr="00DA4B59">
        <w:rPr>
          <w:color w:val="auto"/>
          <w:u w:val="single"/>
        </w:rPr>
        <w:t>The commissioner shall propose rules for legislative approval in accordance with §29A-3-1</w:t>
      </w:r>
      <w:r w:rsidRPr="00DA4B59">
        <w:rPr>
          <w:i/>
          <w:iCs/>
          <w:color w:val="auto"/>
          <w:u w:val="single"/>
        </w:rPr>
        <w:t xml:space="preserve"> et seq.</w:t>
      </w:r>
      <w:r w:rsidRPr="00DA4B59">
        <w:rPr>
          <w:color w:val="auto"/>
          <w:u w:val="single"/>
        </w:rPr>
        <w:t xml:space="preserve"> of this code to implement this article. Until such rules are adopted, health carriers shall fulfill their obligations under this article by conforming to the standards of the American Society for Reproductive Medicine.</w:t>
      </w:r>
    </w:p>
    <w:p w14:paraId="721F2E9C" w14:textId="77777777" w:rsidR="00F061B9" w:rsidRPr="00DA4B59" w:rsidRDefault="00F061B9" w:rsidP="00F061B9">
      <w:pPr>
        <w:pStyle w:val="SectionHeading"/>
        <w:rPr>
          <w:color w:val="auto"/>
          <w:u w:val="single"/>
        </w:rPr>
      </w:pPr>
      <w:r w:rsidRPr="00DA4B59">
        <w:rPr>
          <w:color w:val="auto"/>
          <w:u w:val="single"/>
        </w:rPr>
        <w:t>§33-15F-6. Severability.</w:t>
      </w:r>
    </w:p>
    <w:p w14:paraId="314C10BB" w14:textId="77777777" w:rsidR="00F061B9" w:rsidRPr="00DA4B59" w:rsidRDefault="00F061B9" w:rsidP="00F061B9">
      <w:pPr>
        <w:rPr>
          <w:rFonts w:eastAsia="Calibri"/>
          <w:color w:val="auto"/>
          <w:u w:val="single"/>
        </w:rPr>
        <w:sectPr w:rsidR="00F061B9" w:rsidRPr="00DA4B59" w:rsidSect="004E4DBB">
          <w:type w:val="continuous"/>
          <w:pgSz w:w="12240" w:h="15840"/>
          <w:pgMar w:top="1440" w:right="1440" w:bottom="1440" w:left="1440" w:header="720" w:footer="720" w:gutter="0"/>
          <w:lnNumType w:countBy="1" w:restart="newSection"/>
          <w:cols w:space="720"/>
          <w:docGrid w:linePitch="299"/>
        </w:sectPr>
      </w:pPr>
    </w:p>
    <w:p w14:paraId="4E2AABBA" w14:textId="77777777" w:rsidR="00F061B9" w:rsidRPr="00DA4B59" w:rsidRDefault="00F061B9" w:rsidP="00F061B9">
      <w:pPr>
        <w:pStyle w:val="SectionBody"/>
        <w:rPr>
          <w:color w:val="auto"/>
          <w:u w:val="single"/>
        </w:rPr>
      </w:pPr>
      <w:r w:rsidRPr="00DA4B59">
        <w:rPr>
          <w:color w:val="auto"/>
          <w:u w:val="single"/>
        </w:rPr>
        <w:t>If any provision of this article or the application thereof to any person or circumstances is held invalid, the invalidity does not affect other provisions or applications of the article which can be given effect without the invalid provisions or applications, and to this end the provisions of this article are severable.</w:t>
      </w:r>
    </w:p>
    <w:p w14:paraId="560AD796" w14:textId="77777777" w:rsidR="00F061B9" w:rsidRPr="00DA4B59" w:rsidRDefault="00F061B9" w:rsidP="00F061B9">
      <w:pPr>
        <w:pStyle w:val="SectionHeading"/>
        <w:rPr>
          <w:color w:val="auto"/>
          <w:u w:val="single"/>
        </w:rPr>
      </w:pPr>
      <w:r w:rsidRPr="00DA4B59">
        <w:rPr>
          <w:color w:val="auto"/>
          <w:u w:val="single"/>
        </w:rPr>
        <w:t>§33-15F-7. Effective Date.</w:t>
      </w:r>
    </w:p>
    <w:p w14:paraId="78FD673C" w14:textId="77777777" w:rsidR="00F061B9" w:rsidRPr="00DA4B59" w:rsidRDefault="00F061B9" w:rsidP="00F061B9">
      <w:pPr>
        <w:rPr>
          <w:rFonts w:eastAsia="Calibri"/>
          <w:color w:val="auto"/>
        </w:rPr>
        <w:sectPr w:rsidR="00F061B9" w:rsidRPr="00DA4B59" w:rsidSect="004E4DBB">
          <w:type w:val="continuous"/>
          <w:pgSz w:w="12240" w:h="15840"/>
          <w:pgMar w:top="1440" w:right="1440" w:bottom="1440" w:left="1440" w:header="720" w:footer="720" w:gutter="0"/>
          <w:lnNumType w:countBy="1" w:restart="newSection"/>
          <w:cols w:space="720"/>
          <w:docGrid w:linePitch="299"/>
        </w:sectPr>
      </w:pPr>
    </w:p>
    <w:p w14:paraId="6DF226CF" w14:textId="35E06931" w:rsidR="008736AA" w:rsidRPr="00DA4B59" w:rsidRDefault="00F061B9" w:rsidP="00F061B9">
      <w:pPr>
        <w:pStyle w:val="SectionBody"/>
        <w:rPr>
          <w:color w:val="auto"/>
        </w:rPr>
      </w:pPr>
      <w:r w:rsidRPr="00DA4B59">
        <w:rPr>
          <w:color w:val="auto"/>
          <w:u w:val="single"/>
        </w:rPr>
        <w:t>This article takes effect on January 1, 202</w:t>
      </w:r>
      <w:r w:rsidR="00136B71" w:rsidRPr="00DA4B59">
        <w:rPr>
          <w:color w:val="auto"/>
          <w:u w:val="single"/>
        </w:rPr>
        <w:t>5</w:t>
      </w:r>
      <w:r w:rsidRPr="00DA4B59">
        <w:rPr>
          <w:color w:val="auto"/>
          <w:u w:val="single"/>
        </w:rPr>
        <w:t>.</w:t>
      </w:r>
    </w:p>
    <w:p w14:paraId="7DC7C1A4" w14:textId="77777777" w:rsidR="00C33014" w:rsidRPr="00DA4B59" w:rsidRDefault="00C33014" w:rsidP="00CC1F3B">
      <w:pPr>
        <w:pStyle w:val="Note"/>
        <w:rPr>
          <w:color w:val="auto"/>
        </w:rPr>
      </w:pPr>
    </w:p>
    <w:p w14:paraId="735CA6E3" w14:textId="0C96C0A6" w:rsidR="006865E9" w:rsidRPr="00DA4B59" w:rsidRDefault="00CF1DCA" w:rsidP="00CC1F3B">
      <w:pPr>
        <w:pStyle w:val="Note"/>
        <w:rPr>
          <w:color w:val="auto"/>
        </w:rPr>
      </w:pPr>
      <w:r w:rsidRPr="00DA4B59">
        <w:rPr>
          <w:color w:val="auto"/>
        </w:rPr>
        <w:t>NOTE: The</w:t>
      </w:r>
      <w:r w:rsidR="006865E9" w:rsidRPr="00DA4B59">
        <w:rPr>
          <w:color w:val="auto"/>
        </w:rPr>
        <w:t xml:space="preserve"> purpose of this bill is to </w:t>
      </w:r>
      <w:r w:rsidR="00F061B9" w:rsidRPr="00DA4B59">
        <w:rPr>
          <w:color w:val="auto"/>
        </w:rPr>
        <w:t>require medical insurance providers to include infertility services in their policies. The bill makes findings. The bill provides for determination of infertility. The bill provides prohibited and permissible limitations on coverage. The bill requires rulemaking. The bill establishes an effective date. The bill provides for severability. The bill defines terms.</w:t>
      </w:r>
    </w:p>
    <w:p w14:paraId="447B4B79" w14:textId="77777777" w:rsidR="006865E9" w:rsidRPr="00DA4B59" w:rsidRDefault="00AE48A0" w:rsidP="00CC1F3B">
      <w:pPr>
        <w:pStyle w:val="Note"/>
        <w:rPr>
          <w:color w:val="auto"/>
        </w:rPr>
      </w:pPr>
      <w:r w:rsidRPr="00DA4B59">
        <w:rPr>
          <w:color w:val="auto"/>
        </w:rPr>
        <w:t>Strike-throughs indicate language that would be stricken from a heading or the present law and underscoring indicates new language that would be added.</w:t>
      </w:r>
    </w:p>
    <w:sectPr w:rsidR="006865E9" w:rsidRPr="00DA4B59" w:rsidSect="004E4D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D1AA" w14:textId="77777777" w:rsidR="00F061B9" w:rsidRPr="00B844FE" w:rsidRDefault="00F061B9" w:rsidP="00B844FE">
      <w:r>
        <w:separator/>
      </w:r>
    </w:p>
  </w:endnote>
  <w:endnote w:type="continuationSeparator" w:id="0">
    <w:p w14:paraId="1444A1F9" w14:textId="77777777" w:rsidR="00F061B9" w:rsidRPr="00B844FE" w:rsidRDefault="00F061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84A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69F1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B108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4848" w14:textId="77777777" w:rsidR="00F061B9" w:rsidRPr="00B844FE" w:rsidRDefault="00F061B9" w:rsidP="00B844FE">
      <w:r>
        <w:separator/>
      </w:r>
    </w:p>
  </w:footnote>
  <w:footnote w:type="continuationSeparator" w:id="0">
    <w:p w14:paraId="5DC4C75D" w14:textId="77777777" w:rsidR="00F061B9" w:rsidRPr="00B844FE" w:rsidRDefault="00F061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7255" w14:textId="77777777" w:rsidR="002A0269" w:rsidRPr="00B844FE" w:rsidRDefault="00F42530">
    <w:pPr>
      <w:pStyle w:val="Header"/>
    </w:pPr>
    <w:sdt>
      <w:sdtPr>
        <w:id w:val="-684364211"/>
        <w:placeholder>
          <w:docPart w:val="1DB0F881A5DE481DA10B409580058B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B0F881A5DE481DA10B409580058B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A19D" w14:textId="54D41871" w:rsidR="00C33014" w:rsidRPr="00C944CD" w:rsidRDefault="00AE48A0" w:rsidP="00C944CD">
    <w:pPr>
      <w:pStyle w:val="HeaderStyle"/>
    </w:pPr>
    <w:r w:rsidRPr="00C944CD">
      <w:t>I</w:t>
    </w:r>
    <w:r w:rsidR="001A66B7" w:rsidRPr="00C944CD">
      <w:t xml:space="preserve">ntr </w:t>
    </w:r>
    <w:sdt>
      <w:sdtPr>
        <w:tag w:val="BNumWH"/>
        <w:id w:val="138549797"/>
        <w:showingPlcHdr/>
        <w:text/>
      </w:sdtPr>
      <w:sdtEndPr/>
      <w:sdtContent/>
    </w:sdt>
    <w:r w:rsidR="007A5259" w:rsidRPr="00C944CD">
      <w:t xml:space="preserve"> </w:t>
    </w:r>
    <w:r w:rsidR="002E1028" w:rsidRPr="00C944CD">
      <w:t>SB</w:t>
    </w:r>
    <w:r w:rsidR="00C33014" w:rsidRPr="00C944CD">
      <w:ptab w:relativeTo="margin" w:alignment="center" w:leader="none"/>
    </w:r>
    <w:r w:rsidR="00C33014" w:rsidRPr="00C944CD">
      <w:tab/>
    </w:r>
    <w:sdt>
      <w:sdtPr>
        <w:alias w:val="CBD Number"/>
        <w:tag w:val="CBD Number"/>
        <w:id w:val="1176923086"/>
        <w:lock w:val="sdtLocked"/>
        <w:text/>
      </w:sdtPr>
      <w:sdtEndPr/>
      <w:sdtContent>
        <w:r w:rsidR="00F061B9" w:rsidRPr="00C944CD">
          <w:t>202</w:t>
        </w:r>
        <w:r w:rsidR="00114392" w:rsidRPr="00C944CD">
          <w:t>4</w:t>
        </w:r>
        <w:r w:rsidR="00F061B9" w:rsidRPr="00C944CD">
          <w:t>R1</w:t>
        </w:r>
        <w:r w:rsidR="00114392" w:rsidRPr="00C944CD">
          <w:t>194</w:t>
        </w:r>
      </w:sdtContent>
    </w:sdt>
  </w:p>
  <w:p w14:paraId="256CE3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37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2879616">
    <w:abstractNumId w:val="0"/>
  </w:num>
  <w:num w:numId="2" w16cid:durableId="146585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B9"/>
    <w:rsid w:val="0000526A"/>
    <w:rsid w:val="00010832"/>
    <w:rsid w:val="000573A9"/>
    <w:rsid w:val="00085D22"/>
    <w:rsid w:val="00093AB0"/>
    <w:rsid w:val="000A6F33"/>
    <w:rsid w:val="000C5C77"/>
    <w:rsid w:val="000E3912"/>
    <w:rsid w:val="0010070F"/>
    <w:rsid w:val="00114392"/>
    <w:rsid w:val="00136B71"/>
    <w:rsid w:val="0015112E"/>
    <w:rsid w:val="001552E7"/>
    <w:rsid w:val="001566B4"/>
    <w:rsid w:val="001A66B7"/>
    <w:rsid w:val="001A6CD6"/>
    <w:rsid w:val="001B4226"/>
    <w:rsid w:val="001C279E"/>
    <w:rsid w:val="001D459E"/>
    <w:rsid w:val="0022348D"/>
    <w:rsid w:val="0027011C"/>
    <w:rsid w:val="00274200"/>
    <w:rsid w:val="00275740"/>
    <w:rsid w:val="002810FF"/>
    <w:rsid w:val="002A0269"/>
    <w:rsid w:val="002E1028"/>
    <w:rsid w:val="00303684"/>
    <w:rsid w:val="003143F5"/>
    <w:rsid w:val="00314854"/>
    <w:rsid w:val="00394191"/>
    <w:rsid w:val="003C51CD"/>
    <w:rsid w:val="003C6034"/>
    <w:rsid w:val="00400B5C"/>
    <w:rsid w:val="004368E0"/>
    <w:rsid w:val="004C13DD"/>
    <w:rsid w:val="004D3ABE"/>
    <w:rsid w:val="004E3441"/>
    <w:rsid w:val="004E4DBB"/>
    <w:rsid w:val="00500579"/>
    <w:rsid w:val="005A5366"/>
    <w:rsid w:val="00617DFB"/>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44CD"/>
    <w:rsid w:val="00CB20EF"/>
    <w:rsid w:val="00CC1F3B"/>
    <w:rsid w:val="00CD12CB"/>
    <w:rsid w:val="00CD36CF"/>
    <w:rsid w:val="00CF1DCA"/>
    <w:rsid w:val="00D579FC"/>
    <w:rsid w:val="00D81C16"/>
    <w:rsid w:val="00DA4B59"/>
    <w:rsid w:val="00DE526B"/>
    <w:rsid w:val="00DF199D"/>
    <w:rsid w:val="00E01542"/>
    <w:rsid w:val="00E365F1"/>
    <w:rsid w:val="00E62F48"/>
    <w:rsid w:val="00E80D13"/>
    <w:rsid w:val="00E831B3"/>
    <w:rsid w:val="00E95FBC"/>
    <w:rsid w:val="00EC5E63"/>
    <w:rsid w:val="00EE70CB"/>
    <w:rsid w:val="00F061B9"/>
    <w:rsid w:val="00F41CA2"/>
    <w:rsid w:val="00F42530"/>
    <w:rsid w:val="00F443C0"/>
    <w:rsid w:val="00F62EFB"/>
    <w:rsid w:val="00F939A4"/>
    <w:rsid w:val="00FA7B09"/>
    <w:rsid w:val="00FC16EC"/>
    <w:rsid w:val="00FD5B51"/>
    <w:rsid w:val="00FE067E"/>
    <w:rsid w:val="00FE208F"/>
    <w:rsid w:val="00FE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CFA1"/>
  <w15:chartTrackingRefBased/>
  <w15:docId w15:val="{7F0E05E8-05FB-4CDE-8F09-DFE82A58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0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F061B9"/>
    <w:rPr>
      <w:rFonts w:eastAsia="Calibri"/>
      <w:color w:val="000000"/>
    </w:rPr>
  </w:style>
  <w:style w:type="character" w:customStyle="1" w:styleId="SectionHeadingChar">
    <w:name w:val="Section Heading Char"/>
    <w:link w:val="SectionHeading"/>
    <w:locked/>
    <w:rsid w:val="00F061B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8209EF76A6428AAA6E965E1F95EC69"/>
        <w:category>
          <w:name w:val="General"/>
          <w:gallery w:val="placeholder"/>
        </w:category>
        <w:types>
          <w:type w:val="bbPlcHdr"/>
        </w:types>
        <w:behaviors>
          <w:behavior w:val="content"/>
        </w:behaviors>
        <w:guid w:val="{903DB863-B99A-4060-9BF7-85000F5512FD}"/>
      </w:docPartPr>
      <w:docPartBody>
        <w:p w:rsidR="00C82277" w:rsidRDefault="00C82277">
          <w:pPr>
            <w:pStyle w:val="058209EF76A6428AAA6E965E1F95EC69"/>
          </w:pPr>
          <w:r w:rsidRPr="00B844FE">
            <w:t>Prefix Text</w:t>
          </w:r>
        </w:p>
      </w:docPartBody>
    </w:docPart>
    <w:docPart>
      <w:docPartPr>
        <w:name w:val="1DB0F881A5DE481DA10B409580058BF1"/>
        <w:category>
          <w:name w:val="General"/>
          <w:gallery w:val="placeholder"/>
        </w:category>
        <w:types>
          <w:type w:val="bbPlcHdr"/>
        </w:types>
        <w:behaviors>
          <w:behavior w:val="content"/>
        </w:behaviors>
        <w:guid w:val="{AE4CBAF5-B19D-47E0-AE35-B3387EC861FC}"/>
      </w:docPartPr>
      <w:docPartBody>
        <w:p w:rsidR="00C82277" w:rsidRDefault="00C82277">
          <w:pPr>
            <w:pStyle w:val="1DB0F881A5DE481DA10B409580058BF1"/>
          </w:pPr>
          <w:r w:rsidRPr="00B844FE">
            <w:t>[Type here]</w:t>
          </w:r>
        </w:p>
      </w:docPartBody>
    </w:docPart>
    <w:docPart>
      <w:docPartPr>
        <w:name w:val="7F9BA33595E4473C9771FFCC8E8E308B"/>
        <w:category>
          <w:name w:val="General"/>
          <w:gallery w:val="placeholder"/>
        </w:category>
        <w:types>
          <w:type w:val="bbPlcHdr"/>
        </w:types>
        <w:behaviors>
          <w:behavior w:val="content"/>
        </w:behaviors>
        <w:guid w:val="{0C0EE6E4-B9B0-4FD5-B7D3-8C87BA0086F4}"/>
      </w:docPartPr>
      <w:docPartBody>
        <w:p w:rsidR="00C82277" w:rsidRDefault="00C82277">
          <w:pPr>
            <w:pStyle w:val="7F9BA33595E4473C9771FFCC8E8E308B"/>
          </w:pPr>
          <w:r w:rsidRPr="00B844FE">
            <w:t>Number</w:t>
          </w:r>
        </w:p>
      </w:docPartBody>
    </w:docPart>
    <w:docPart>
      <w:docPartPr>
        <w:name w:val="D961601C43284A278BAB384BCA84B36F"/>
        <w:category>
          <w:name w:val="General"/>
          <w:gallery w:val="placeholder"/>
        </w:category>
        <w:types>
          <w:type w:val="bbPlcHdr"/>
        </w:types>
        <w:behaviors>
          <w:behavior w:val="content"/>
        </w:behaviors>
        <w:guid w:val="{C64FAE33-E41E-42C7-BDDB-05501E49F314}"/>
      </w:docPartPr>
      <w:docPartBody>
        <w:p w:rsidR="00C82277" w:rsidRDefault="00C82277">
          <w:pPr>
            <w:pStyle w:val="D961601C43284A278BAB384BCA84B36F"/>
          </w:pPr>
          <w:r w:rsidRPr="00B844FE">
            <w:t>Enter Sponsors Here</w:t>
          </w:r>
        </w:p>
      </w:docPartBody>
    </w:docPart>
    <w:docPart>
      <w:docPartPr>
        <w:name w:val="C2672C1763DB4303A7341C95D3B26292"/>
        <w:category>
          <w:name w:val="General"/>
          <w:gallery w:val="placeholder"/>
        </w:category>
        <w:types>
          <w:type w:val="bbPlcHdr"/>
        </w:types>
        <w:behaviors>
          <w:behavior w:val="content"/>
        </w:behaviors>
        <w:guid w:val="{602046AD-4DE8-4119-A11B-CDF0BDAC02FE}"/>
      </w:docPartPr>
      <w:docPartBody>
        <w:p w:rsidR="00C82277" w:rsidRDefault="00C82277">
          <w:pPr>
            <w:pStyle w:val="C2672C1763DB4303A7341C95D3B262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77"/>
    <w:rsid w:val="00C8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8209EF76A6428AAA6E965E1F95EC69">
    <w:name w:val="058209EF76A6428AAA6E965E1F95EC69"/>
  </w:style>
  <w:style w:type="paragraph" w:customStyle="1" w:styleId="1DB0F881A5DE481DA10B409580058BF1">
    <w:name w:val="1DB0F881A5DE481DA10B409580058BF1"/>
  </w:style>
  <w:style w:type="paragraph" w:customStyle="1" w:styleId="7F9BA33595E4473C9771FFCC8E8E308B">
    <w:name w:val="7F9BA33595E4473C9771FFCC8E8E308B"/>
  </w:style>
  <w:style w:type="paragraph" w:customStyle="1" w:styleId="D961601C43284A278BAB384BCA84B36F">
    <w:name w:val="D961601C43284A278BAB384BCA84B36F"/>
  </w:style>
  <w:style w:type="character" w:styleId="PlaceholderText">
    <w:name w:val="Placeholder Text"/>
    <w:basedOn w:val="DefaultParagraphFont"/>
    <w:uiPriority w:val="99"/>
    <w:semiHidden/>
    <w:rPr>
      <w:color w:val="808080"/>
    </w:rPr>
  </w:style>
  <w:style w:type="paragraph" w:customStyle="1" w:styleId="C2672C1763DB4303A7341C95D3B26292">
    <w:name w:val="C2672C1763DB4303A7341C95D3B26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6</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9</cp:revision>
  <dcterms:created xsi:type="dcterms:W3CDTF">2023-08-29T18:35:00Z</dcterms:created>
  <dcterms:modified xsi:type="dcterms:W3CDTF">2024-01-15T21:17:00Z</dcterms:modified>
</cp:coreProperties>
</file>